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E55E" w14:textId="77777777" w:rsidR="00E03B11" w:rsidRDefault="00E03B11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18F1E0C8" w14:textId="31DEB1DB" w:rsidR="005339C1" w:rsidRPr="005339C1" w:rsidRDefault="14930443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244B6D3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SECTION 430(2B) COMPANIES ACT STATEMENT</w:t>
      </w:r>
    </w:p>
    <w:p w14:paraId="0A2AAD29" w14:textId="1A9B2661" w:rsidR="005339C1" w:rsidRPr="005339C1" w:rsidRDefault="14930443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bookmarkStart w:id="0" w:name="_Hlk193809207"/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As </w:t>
      </w:r>
      <w:r w:rsidR="00BD3F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announce</w:t>
      </w:r>
      <w:r w:rsidR="1B64530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 by the Aptitude Software Group plc (the “Company”) on 26 March 2025, M</w:t>
      </w:r>
      <w:r w:rsidR="00BD3F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ike Johns 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step</w:t>
      </w:r>
      <w:r w:rsidR="002070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ped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down from the role of Chief Financial Officer </w:t>
      </w:r>
      <w:r w:rsidR="002070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of t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 Company</w:t>
      </w:r>
      <w:r w:rsidR="002070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</w:t>
      </w:r>
      <w:r w:rsidR="002070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 25 March 2025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 </w:t>
      </w:r>
    </w:p>
    <w:p w14:paraId="2241A994" w14:textId="3C33A72B" w:rsidR="005339C1" w:rsidRPr="005339C1" w:rsidRDefault="0126DA74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244B6D3B">
        <w:rPr>
          <w:rFonts w:ascii="Times New Roman" w:eastAsia="Times New Roman" w:hAnsi="Times New Roman" w:cs="Times New Roman"/>
          <w:lang w:eastAsia="en-GB"/>
        </w:rPr>
        <w:t xml:space="preserve">The financial arrangements relating to Mike Johns’ departure are outlined below.  These 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arrangements comply with the Company’s Directors’ Remuneration Policy, which was approved by shareholders at the 202</w:t>
      </w:r>
      <w:r w:rsidR="002070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3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AGM.</w:t>
      </w:r>
      <w:bookmarkEnd w:id="0"/>
      <w:r w:rsidR="005339C1">
        <w:br/>
      </w:r>
    </w:p>
    <w:p w14:paraId="4C1368A2" w14:textId="77777777" w:rsidR="005339C1" w:rsidRPr="005339C1" w:rsidRDefault="005339C1" w:rsidP="0053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Salary and benefits</w:t>
      </w:r>
    </w:p>
    <w:p w14:paraId="4DE994CD" w14:textId="557F4E98" w:rsidR="005339C1" w:rsidRPr="005339C1" w:rsidRDefault="005339C1" w:rsidP="7D9F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</w:t>
      </w:r>
      <w:r w:rsidR="00F96834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ike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4F6E3405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Johns 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receive</w:t>
      </w:r>
      <w:r w:rsidR="00F96834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his salary and normal benefits</w:t>
      </w:r>
      <w:r w:rsidR="00F96834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up to and including 2</w:t>
      </w:r>
      <w:r w:rsidR="002F6BFD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5 March 2025</w:t>
      </w:r>
      <w:r w:rsidR="15851DED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being the date his employment with the Company ceased</w:t>
      </w:r>
      <w:r w:rsidR="002F6BFD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7D9F60E8">
        <w:rPr>
          <w:rFonts w:eastAsiaTheme="minorEastAsia"/>
          <w:lang w:eastAsia="en-GB"/>
        </w:rPr>
        <w:t> </w:t>
      </w:r>
      <w:r>
        <w:br/>
      </w:r>
    </w:p>
    <w:p w14:paraId="185BD7E2" w14:textId="77777777" w:rsidR="005339C1" w:rsidRPr="005339C1" w:rsidRDefault="005339C1" w:rsidP="0053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Annual Bonus</w:t>
      </w:r>
    </w:p>
    <w:p w14:paraId="1675BFB0" w14:textId="7869B6F1" w:rsidR="005339C1" w:rsidRPr="005339C1" w:rsidRDefault="4CC8E33D" w:rsidP="7D9F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</w:t>
      </w:r>
      <w:r w:rsidR="002F6BF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was not 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eligible to receive a bonus in respect of the 202</w:t>
      </w:r>
      <w:r w:rsidR="002F6BF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4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financial year</w:t>
      </w:r>
      <w:r w:rsidR="002F6BF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="005339C1"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  <w:r>
        <w:br/>
      </w:r>
    </w:p>
    <w:p w14:paraId="5731CB32" w14:textId="5F681A7F" w:rsidR="005339C1" w:rsidRPr="005339C1" w:rsidRDefault="002F6BFD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Performance Share Plan</w:t>
      </w:r>
      <w:r w:rsidR="44E57EA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(“PSP”)</w:t>
      </w:r>
    </w:p>
    <w:p w14:paraId="258C469F" w14:textId="1387A029" w:rsidR="005339C1" w:rsidRPr="00743733" w:rsidRDefault="005339C1" w:rsidP="7D9F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</w:t>
      </w:r>
      <w:r w:rsidR="002F6BFD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ike</w:t>
      </w:r>
      <w:r w:rsidR="2A6B157B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John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="232D79D2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’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outstanding </w:t>
      </w:r>
      <w:r w:rsidR="002F6BFD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PSP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awards </w:t>
      </w:r>
      <w:r w:rsidR="007C2F8C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have been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pro-rated for time as detailed below and will vest on the normal vesting date, subject to the satisfaction of applicable performance conditions</w:t>
      </w:r>
      <w:r w:rsidR="0D64B9DF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45B4F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Remuneration </w:t>
      </w:r>
      <w:r w:rsidR="3A71BCB7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Policy</w:t>
      </w:r>
      <w:r w:rsidR="00E45B4F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permits</w:t>
      </w:r>
      <w:r w:rsidR="3A71BCB7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Remuneration 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Committee </w:t>
      </w:r>
      <w:r w:rsidR="00E45B4F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exercise discretion over the retention of share options.</w:t>
      </w:r>
      <w:r w:rsidR="00E22C92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In this case, the Committee has allowed the retention of </w:t>
      </w:r>
      <w:r w:rsidR="00743733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shares </w:t>
      </w:r>
      <w:r w:rsidR="00E22C92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options in consideration of Mike’s years of service to the Company.</w:t>
      </w:r>
      <w:r w:rsidR="070B8033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Any shares acquired on the vesting dates will be subject to the Company’s post-employment shareholding re</w:t>
      </w:r>
      <w:r w:rsidR="52DBADCE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quirement.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188"/>
        <w:gridCol w:w="2127"/>
      </w:tblGrid>
      <w:tr w:rsidR="005339C1" w:rsidRPr="005339C1" w14:paraId="0958262D" w14:textId="77777777" w:rsidTr="7D9F60E8">
        <w:trPr>
          <w:trHeight w:val="720"/>
          <w:tblHeader/>
        </w:trPr>
        <w:tc>
          <w:tcPr>
            <w:tcW w:w="2552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  <w:hideMark/>
          </w:tcPr>
          <w:p w14:paraId="117E0F2A" w14:textId="77777777" w:rsidR="005339C1" w:rsidRPr="005339C1" w:rsidRDefault="005339C1" w:rsidP="005339C1">
            <w:pPr>
              <w:spacing w:after="100" w:afterAutospacing="1" w:line="240" w:lineRule="auto"/>
              <w:outlineLvl w:val="4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Date of grant</w:t>
            </w:r>
          </w:p>
        </w:tc>
        <w:tc>
          <w:tcPr>
            <w:tcW w:w="2268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2C188A16" w14:textId="636EC5CF" w:rsidR="005339C1" w:rsidRPr="005339C1" w:rsidRDefault="005339C1" w:rsidP="7D9F60E8">
            <w:pPr>
              <w:tabs>
                <w:tab w:val="left" w:pos="1500"/>
                <w:tab w:val="right" w:pos="2435"/>
              </w:tabs>
              <w:spacing w:after="100" w:afterAutospacing="1" w:line="240" w:lineRule="auto"/>
              <w:ind w:right="180"/>
              <w:outlineLvl w:val="4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Number of shares</w:t>
            </w:r>
            <w:r w:rsidR="01F40BB8"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subject to award </w:t>
            </w:r>
          </w:p>
        </w:tc>
        <w:tc>
          <w:tcPr>
            <w:tcW w:w="2188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2CD5D79B" w14:textId="541DBF80" w:rsidR="005339C1" w:rsidRPr="005339C1" w:rsidRDefault="005339C1" w:rsidP="00D32A1C">
            <w:pPr>
              <w:spacing w:after="100" w:afterAutospacing="1" w:line="240" w:lineRule="auto"/>
              <w:ind w:left="-450"/>
              <w:jc w:val="center"/>
              <w:outlineLvl w:val="4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Number of share</w:t>
            </w:r>
            <w:r w:rsidR="05EAE26D"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s</w:t>
            </w:r>
          </w:p>
          <w:p w14:paraId="447640F0" w14:textId="77777777" w:rsidR="005339C1" w:rsidRPr="005339C1" w:rsidRDefault="005339C1" w:rsidP="00D32A1C">
            <w:pPr>
              <w:spacing w:after="100" w:afterAutospacing="1" w:line="240" w:lineRule="auto"/>
              <w:ind w:left="-450"/>
              <w:jc w:val="center"/>
              <w:outlineLvl w:val="4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pro-rated for time</w:t>
            </w:r>
          </w:p>
        </w:tc>
        <w:tc>
          <w:tcPr>
            <w:tcW w:w="2127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07A613F4" w14:textId="48F2AFDD" w:rsidR="005339C1" w:rsidRPr="005339C1" w:rsidRDefault="00743733" w:rsidP="7D9F60E8">
            <w:pPr>
              <w:spacing w:after="100" w:afterAutospacing="1" w:line="240" w:lineRule="auto"/>
              <w:ind w:left="-360"/>
              <w:outlineLvl w:val="4"/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 xml:space="preserve">  </w:t>
            </w:r>
            <w:r w:rsidR="3B354101"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D32A1C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V</w:t>
            </w:r>
            <w:r w:rsidR="005339C1" w:rsidRPr="005339C1">
              <w:rPr>
                <w:rFonts w:ascii="Arial" w:eastAsia="Times New Roman" w:hAnsi="Arial" w:cs="Arial"/>
                <w:kern w:val="0"/>
                <w:sz w:val="21"/>
                <w:szCs w:val="21"/>
                <w:lang w:eastAsia="en-GB"/>
                <w14:ligatures w14:val="none"/>
              </w:rPr>
              <w:t>esting date</w:t>
            </w:r>
          </w:p>
        </w:tc>
      </w:tr>
      <w:tr w:rsidR="005339C1" w:rsidRPr="005339C1" w14:paraId="05ACA808" w14:textId="77777777" w:rsidTr="7D9F60E8">
        <w:trPr>
          <w:trHeight w:val="720"/>
        </w:trPr>
        <w:tc>
          <w:tcPr>
            <w:tcW w:w="2552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  <w:hideMark/>
          </w:tcPr>
          <w:p w14:paraId="15BD381C" w14:textId="128525B1" w:rsidR="005339C1" w:rsidRPr="005339C1" w:rsidRDefault="288D2CCD" w:rsidP="244B6D3B">
            <w:pPr>
              <w:spacing w:after="0" w:line="240" w:lineRule="auto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22 November 2022</w:t>
            </w:r>
          </w:p>
        </w:tc>
        <w:tc>
          <w:tcPr>
            <w:tcW w:w="2268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171E40A6" w14:textId="77777777" w:rsidR="005339C1" w:rsidRPr="005339C1" w:rsidRDefault="288D2CCD" w:rsidP="00533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9,570</w:t>
            </w:r>
          </w:p>
        </w:tc>
        <w:tc>
          <w:tcPr>
            <w:tcW w:w="2188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7EA2D5CD" w14:textId="77777777" w:rsidR="005339C1" w:rsidRPr="005339C1" w:rsidRDefault="4CFAE3C9" w:rsidP="00D32A1C">
            <w:pPr>
              <w:spacing w:after="0" w:line="240" w:lineRule="auto"/>
              <w:ind w:left="-45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7,464</w:t>
            </w:r>
          </w:p>
        </w:tc>
        <w:tc>
          <w:tcPr>
            <w:tcW w:w="2127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47F10DD6" w14:textId="53C6D279" w:rsidR="005339C1" w:rsidRPr="005339C1" w:rsidRDefault="4F7C5D59" w:rsidP="244B6D3B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288D2CCD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2</w:t>
            </w:r>
            <w:r w:rsidR="48A4B02D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</w:t>
            </w:r>
            <w:r w:rsidR="288D2CCD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November 2025</w:t>
            </w:r>
          </w:p>
        </w:tc>
      </w:tr>
      <w:tr w:rsidR="005339C1" w:rsidRPr="005339C1" w14:paraId="1BB3C4A5" w14:textId="77777777" w:rsidTr="7D9F60E8">
        <w:trPr>
          <w:trHeight w:val="720"/>
        </w:trPr>
        <w:tc>
          <w:tcPr>
            <w:tcW w:w="2552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  <w:hideMark/>
          </w:tcPr>
          <w:p w14:paraId="4BB6F3DA" w14:textId="77777777" w:rsidR="005339C1" w:rsidRPr="005339C1" w:rsidRDefault="288D2CCD" w:rsidP="00533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 September 2023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44B5CDD5" w14:textId="05D538F4" w:rsidR="005339C1" w:rsidRPr="005339C1" w:rsidRDefault="288D2CCD" w:rsidP="244B6D3B">
            <w:pPr>
              <w:spacing w:after="0" w:line="240" w:lineRule="auto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74,659</w:t>
            </w:r>
          </w:p>
        </w:tc>
        <w:tc>
          <w:tcPr>
            <w:tcW w:w="2188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0DA643D7" w14:textId="77777777" w:rsidR="005339C1" w:rsidRPr="005339C1" w:rsidRDefault="641F985E" w:rsidP="00D32A1C">
            <w:pPr>
              <w:spacing w:after="0" w:line="240" w:lineRule="auto"/>
              <w:ind w:left="-45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38,591</w:t>
            </w:r>
          </w:p>
        </w:tc>
        <w:tc>
          <w:tcPr>
            <w:tcW w:w="2127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3E855251" w14:textId="348E194A" w:rsidR="005339C1" w:rsidRPr="005339C1" w:rsidRDefault="4F7C5D59" w:rsidP="244B6D3B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348A8113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</w:t>
            </w:r>
            <w:r w:rsidR="288D2CCD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September 2026</w:t>
            </w:r>
          </w:p>
        </w:tc>
      </w:tr>
      <w:tr w:rsidR="005339C1" w:rsidRPr="005339C1" w14:paraId="575E393B" w14:textId="77777777" w:rsidTr="7D9F60E8">
        <w:trPr>
          <w:trHeight w:val="555"/>
        </w:trPr>
        <w:tc>
          <w:tcPr>
            <w:tcW w:w="2552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  <w:hideMark/>
          </w:tcPr>
          <w:p w14:paraId="5A8BB1E6" w14:textId="1EFF6AE3" w:rsidR="005339C1" w:rsidRPr="005339C1" w:rsidRDefault="288D2CCD" w:rsidP="244B6D3B">
            <w:pPr>
              <w:spacing w:after="0" w:line="240" w:lineRule="auto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5 September 2024</w:t>
            </w:r>
          </w:p>
        </w:tc>
        <w:tc>
          <w:tcPr>
            <w:tcW w:w="2268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3C34BB18" w14:textId="43F44D3A" w:rsidR="005339C1" w:rsidRPr="005339C1" w:rsidRDefault="288D2CCD" w:rsidP="00533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</w:t>
            </w:r>
            <w:r w:rsidR="005339C1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</w:t>
            </w:r>
            <w:r w:rsidR="2D343882"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,467</w:t>
            </w:r>
          </w:p>
        </w:tc>
        <w:tc>
          <w:tcPr>
            <w:tcW w:w="2188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4DFA48D5" w14:textId="77777777" w:rsidR="005339C1" w:rsidRPr="005339C1" w:rsidRDefault="164ECF09" w:rsidP="00D32A1C">
            <w:pPr>
              <w:spacing w:after="0" w:line="240" w:lineRule="auto"/>
              <w:ind w:left="-450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5339C1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11,661</w:t>
            </w:r>
          </w:p>
        </w:tc>
        <w:tc>
          <w:tcPr>
            <w:tcW w:w="2127" w:type="dxa"/>
            <w:tcBorders>
              <w:top w:val="single" w:sz="6" w:space="0" w:color="DDDDDD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hideMark/>
          </w:tcPr>
          <w:p w14:paraId="15C8E74D" w14:textId="1B77FD1D" w:rsidR="005339C1" w:rsidRPr="005339C1" w:rsidRDefault="6F5D064D" w:rsidP="244B6D3B">
            <w:pPr>
              <w:spacing w:after="0" w:line="240" w:lineRule="auto"/>
              <w:ind w:left="-360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329F1A49" w:rsidRPr="244B6D3B"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="2D343882" w:rsidRPr="244B6D3B">
              <w:rPr>
                <w:rFonts w:ascii="Times New Roman" w:eastAsia="Times New Roman" w:hAnsi="Times New Roman" w:cs="Times New Roman"/>
                <w:lang w:eastAsia="en-GB"/>
              </w:rPr>
              <w:t xml:space="preserve"> September 2027</w:t>
            </w:r>
          </w:p>
        </w:tc>
      </w:tr>
    </w:tbl>
    <w:p w14:paraId="0B39F013" w14:textId="77777777" w:rsidR="00551CAA" w:rsidRDefault="00551CAA" w:rsidP="244B6D3B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7D188E8" w14:textId="77777777" w:rsidR="00551CAA" w:rsidRDefault="00551CAA" w:rsidP="244B6D3B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A1F608A" w14:textId="77777777" w:rsidR="00551CAA" w:rsidRDefault="00551CAA" w:rsidP="244B6D3B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726308A" w14:textId="6C7E08AA" w:rsidR="00BD7126" w:rsidRDefault="00BD7126" w:rsidP="244B6D3B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Deferred Bonus Plan</w:t>
      </w:r>
      <w:r w:rsidR="55B2558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(“DBP”)</w:t>
      </w:r>
    </w:p>
    <w:p w14:paraId="7794DA97" w14:textId="41A1A1A1" w:rsidR="00BD7126" w:rsidRDefault="28781865" w:rsidP="7D9F60E8">
      <w:pPr>
        <w:spacing w:before="100" w:beforeAutospacing="1" w:after="100" w:afterAutospacing="1" w:line="240" w:lineRule="auto"/>
        <w:ind w:left="-9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Mike</w:t>
      </w:r>
      <w:r w:rsidR="48CA5BA9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47FA494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John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</w:t>
      </w:r>
      <w:r w:rsidR="69829ABA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’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outstanding </w:t>
      </w:r>
      <w:r w:rsidR="7BA2835E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DPB 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award</w:t>
      </w:r>
      <w:r w:rsidR="71E0EFC2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="1B9E9106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wi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ll</w:t>
      </w:r>
      <w:r w:rsidR="5B61DC7B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subject to the Rules of the </w:t>
      </w:r>
      <w:r w:rsidR="7BA52FEB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DBP,</w:t>
      </w: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44849451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vest on the normal vesting date</w:t>
      </w:r>
      <w:r w:rsidR="51AF8DF3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any shares acquired will be subject to the Company’s post-employment shareholding requirement.</w:t>
      </w:r>
      <w:r w:rsidR="44849451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915"/>
        <w:gridCol w:w="2127"/>
      </w:tblGrid>
      <w:tr w:rsidR="244B6D3B" w14:paraId="67F7B50E" w14:textId="77777777" w:rsidTr="244B6D3B">
        <w:trPr>
          <w:trHeight w:val="150"/>
        </w:trPr>
        <w:tc>
          <w:tcPr>
            <w:tcW w:w="2552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</w:tcPr>
          <w:p w14:paraId="49AAFE46" w14:textId="77777777" w:rsidR="244B6D3B" w:rsidRDefault="244B6D3B" w:rsidP="244B6D3B">
            <w:pPr>
              <w:spacing w:afterAutospacing="1" w:line="240" w:lineRule="auto"/>
              <w:outlineLvl w:val="4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244B6D3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Date of grant</w:t>
            </w:r>
          </w:p>
        </w:tc>
        <w:tc>
          <w:tcPr>
            <w:tcW w:w="2915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</w:tcPr>
          <w:p w14:paraId="2537DE1B" w14:textId="77777777" w:rsidR="244B6D3B" w:rsidRDefault="244B6D3B" w:rsidP="244B6D3B">
            <w:pPr>
              <w:spacing w:afterAutospacing="1" w:line="240" w:lineRule="auto"/>
              <w:outlineLvl w:val="4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244B6D3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Number of shares subject to award </w:t>
            </w:r>
          </w:p>
        </w:tc>
        <w:tc>
          <w:tcPr>
            <w:tcW w:w="2127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</w:tcPr>
          <w:p w14:paraId="23660C8A" w14:textId="77777777" w:rsidR="244B6D3B" w:rsidRDefault="244B6D3B" w:rsidP="244B6D3B">
            <w:pPr>
              <w:spacing w:afterAutospacing="1" w:line="240" w:lineRule="auto"/>
              <w:outlineLvl w:val="4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244B6D3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Vesting date</w:t>
            </w:r>
          </w:p>
        </w:tc>
      </w:tr>
      <w:tr w:rsidR="244B6D3B" w14:paraId="36FE6623" w14:textId="77777777" w:rsidTr="244B6D3B">
        <w:trPr>
          <w:trHeight w:val="150"/>
        </w:trPr>
        <w:tc>
          <w:tcPr>
            <w:tcW w:w="2552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0" w:type="dxa"/>
              <w:bottom w:w="270" w:type="dxa"/>
              <w:right w:w="150" w:type="dxa"/>
            </w:tcMar>
          </w:tcPr>
          <w:p w14:paraId="0562245A" w14:textId="186E9F0B" w:rsidR="573A0650" w:rsidRDefault="573A0650" w:rsidP="244B6D3B">
            <w:pPr>
              <w:spacing w:after="0" w:line="240" w:lineRule="auto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29 April 2024</w:t>
            </w:r>
          </w:p>
        </w:tc>
        <w:tc>
          <w:tcPr>
            <w:tcW w:w="2915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</w:tcPr>
          <w:p w14:paraId="785163CA" w14:textId="4CC82564" w:rsidR="573A0650" w:rsidRDefault="573A0650" w:rsidP="244B6D3B">
            <w:pPr>
              <w:spacing w:after="0" w:line="240" w:lineRule="auto"/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973</w:t>
            </w:r>
          </w:p>
        </w:tc>
        <w:tc>
          <w:tcPr>
            <w:tcW w:w="2127" w:type="dxa"/>
            <w:tcBorders>
              <w:top w:val="nil"/>
              <w:bottom w:val="single" w:sz="12" w:space="0" w:color="0E0F0F"/>
            </w:tcBorders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</w:tcPr>
          <w:p w14:paraId="2DED105D" w14:textId="09A75124" w:rsidR="573A0650" w:rsidRDefault="573A0650" w:rsidP="244B6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6C5DA454" w:rsidRPr="244B6D3B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  <w:r w:rsidRPr="244B6D3B">
              <w:rPr>
                <w:rFonts w:ascii="Times New Roman" w:eastAsia="Times New Roman" w:hAnsi="Times New Roman" w:cs="Times New Roman"/>
                <w:lang w:eastAsia="en-GB"/>
              </w:rPr>
              <w:t xml:space="preserve"> April 202</w:t>
            </w:r>
            <w:r w:rsidR="279C15AD" w:rsidRPr="244B6D3B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</w:tr>
    </w:tbl>
    <w:p w14:paraId="54C6787B" w14:textId="22BF3657" w:rsidR="005339C1" w:rsidRPr="005339C1" w:rsidRDefault="00551CAA" w:rsidP="7D9F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</w:t>
      </w:r>
      <w:r w:rsidR="005339C1" w:rsidRPr="005339C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ther</w:t>
      </w:r>
    </w:p>
    <w:p w14:paraId="30F2915E" w14:textId="4E5569B8" w:rsidR="00BD7126" w:rsidRDefault="781390D1" w:rsidP="7D9F6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As part of Mike Johns departure arrangements</w:t>
      </w:r>
      <w:r w:rsidR="00D32A1C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he received </w:t>
      </w:r>
      <w:r w:rsidR="767F9BB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</w:t>
      </w:r>
      <w:r w:rsidR="1E27DA10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£15,000 </w:t>
      </w:r>
      <w:r w:rsidR="7BFA993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discretionary </w:t>
      </w:r>
      <w:r w:rsidR="3D67F2FA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payment</w:t>
      </w:r>
      <w:r w:rsidR="0C97D8E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due to the</w:t>
      </w:r>
      <w:r w:rsidR="7BFA993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266225D1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successful </w:t>
      </w:r>
      <w:r w:rsidR="7BFA9938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completion of the 2024 </w:t>
      </w:r>
      <w:r w:rsidR="07C70893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financial year–end process.</w:t>
      </w:r>
      <w:r w:rsidR="00D32A1C" w:rsidRPr="0074373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Legal expenses of £500.00 were also made available to him.</w:t>
      </w:r>
    </w:p>
    <w:p w14:paraId="33160C3E" w14:textId="64BF90EC" w:rsidR="005339C1" w:rsidRPr="005339C1" w:rsidRDefault="005339C1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Further information</w:t>
      </w:r>
    </w:p>
    <w:p w14:paraId="6FE06682" w14:textId="0FFBBAD9" w:rsidR="005339C1" w:rsidRPr="005339C1" w:rsidRDefault="005339C1" w:rsidP="244B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relevant remuneration details relating to M</w:t>
      </w:r>
      <w:r w:rsidR="007C2F8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ike Johns</w:t>
      </w: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will be included in the Directors’ Remuneration Report in the </w:t>
      </w:r>
      <w:r w:rsidR="007C2F8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2025 </w:t>
      </w: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Annual Report and Accounts.</w:t>
      </w:r>
    </w:p>
    <w:p w14:paraId="0EC98E14" w14:textId="49860819" w:rsidR="005339C1" w:rsidRPr="005339C1" w:rsidRDefault="005339C1" w:rsidP="0053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accordance with section 430(2B) of the Companies Act 2006, the information contained in this document will be made available on the Company’s website until</w:t>
      </w:r>
      <w:r w:rsidR="006F6A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2025</w:t>
      </w: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Directors’ Remuneration Report is </w:t>
      </w:r>
      <w:r w:rsidR="006F6A6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published</w:t>
      </w: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5339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 </w:t>
      </w:r>
    </w:p>
    <w:p w14:paraId="0736FE1A" w14:textId="312C77C5" w:rsidR="00C84933" w:rsidRDefault="00551CAA">
      <w:r>
        <w:t>END</w:t>
      </w:r>
    </w:p>
    <w:p w14:paraId="7965B2B9" w14:textId="77777777" w:rsidR="00551CAA" w:rsidRDefault="00551CAA"/>
    <w:sectPr w:rsidR="00551CAA">
      <w:pgSz w:w="11906" w:h="16838"/>
      <w:pgMar w:top="72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A03C6"/>
    <w:multiLevelType w:val="hybridMultilevel"/>
    <w:tmpl w:val="EB4C769C"/>
    <w:lvl w:ilvl="0" w:tplc="BB76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6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64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2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4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64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69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CA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9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1"/>
    <w:rsid w:val="0020705D"/>
    <w:rsid w:val="002F6BFD"/>
    <w:rsid w:val="00391493"/>
    <w:rsid w:val="004D4F71"/>
    <w:rsid w:val="005339C1"/>
    <w:rsid w:val="00551CAA"/>
    <w:rsid w:val="006A13AA"/>
    <w:rsid w:val="006F6A62"/>
    <w:rsid w:val="007053E5"/>
    <w:rsid w:val="00743733"/>
    <w:rsid w:val="007C2F8C"/>
    <w:rsid w:val="009D1B5D"/>
    <w:rsid w:val="00BD3FC1"/>
    <w:rsid w:val="00BD7126"/>
    <w:rsid w:val="00C84933"/>
    <w:rsid w:val="00D32A1C"/>
    <w:rsid w:val="00E03B11"/>
    <w:rsid w:val="00E22C92"/>
    <w:rsid w:val="00E23676"/>
    <w:rsid w:val="00E45B4F"/>
    <w:rsid w:val="00E47668"/>
    <w:rsid w:val="00F96834"/>
    <w:rsid w:val="0126DA74"/>
    <w:rsid w:val="01F40BB8"/>
    <w:rsid w:val="04BA326E"/>
    <w:rsid w:val="054F7CA4"/>
    <w:rsid w:val="059C0D82"/>
    <w:rsid w:val="05EAE26D"/>
    <w:rsid w:val="070B8033"/>
    <w:rsid w:val="07C70893"/>
    <w:rsid w:val="08937C5A"/>
    <w:rsid w:val="09F90994"/>
    <w:rsid w:val="0BB2A28E"/>
    <w:rsid w:val="0C97D8E8"/>
    <w:rsid w:val="0D64B9DF"/>
    <w:rsid w:val="0D7CBFE7"/>
    <w:rsid w:val="0DC7C81C"/>
    <w:rsid w:val="0EB6E1EF"/>
    <w:rsid w:val="1117E47E"/>
    <w:rsid w:val="12A9733C"/>
    <w:rsid w:val="14930443"/>
    <w:rsid w:val="14AD19D2"/>
    <w:rsid w:val="15851DED"/>
    <w:rsid w:val="1598469F"/>
    <w:rsid w:val="164ECF09"/>
    <w:rsid w:val="1859DA2C"/>
    <w:rsid w:val="1A291017"/>
    <w:rsid w:val="1B645302"/>
    <w:rsid w:val="1B9E9106"/>
    <w:rsid w:val="1C500C97"/>
    <w:rsid w:val="1E27DA10"/>
    <w:rsid w:val="232D79D2"/>
    <w:rsid w:val="24497ED5"/>
    <w:rsid w:val="244B6D3B"/>
    <w:rsid w:val="266225D1"/>
    <w:rsid w:val="279C15AD"/>
    <w:rsid w:val="27A7077E"/>
    <w:rsid w:val="27F8044F"/>
    <w:rsid w:val="28781865"/>
    <w:rsid w:val="288D2CCD"/>
    <w:rsid w:val="290EA22D"/>
    <w:rsid w:val="291DCC14"/>
    <w:rsid w:val="29B22D52"/>
    <w:rsid w:val="2A6B157B"/>
    <w:rsid w:val="2BE4004C"/>
    <w:rsid w:val="2D343882"/>
    <w:rsid w:val="2D4E2633"/>
    <w:rsid w:val="2EBDEDEA"/>
    <w:rsid w:val="3241D479"/>
    <w:rsid w:val="329F1A49"/>
    <w:rsid w:val="348A8113"/>
    <w:rsid w:val="35912BF6"/>
    <w:rsid w:val="3604E8A6"/>
    <w:rsid w:val="36B9408E"/>
    <w:rsid w:val="37DFCA21"/>
    <w:rsid w:val="38978559"/>
    <w:rsid w:val="394DC9FE"/>
    <w:rsid w:val="3A71BCB7"/>
    <w:rsid w:val="3A7C9F9A"/>
    <w:rsid w:val="3AAAA085"/>
    <w:rsid w:val="3B354101"/>
    <w:rsid w:val="3B9D2E38"/>
    <w:rsid w:val="3D376666"/>
    <w:rsid w:val="3D67F2FA"/>
    <w:rsid w:val="4221800D"/>
    <w:rsid w:val="439148B3"/>
    <w:rsid w:val="44849451"/>
    <w:rsid w:val="44E57EA0"/>
    <w:rsid w:val="46E64921"/>
    <w:rsid w:val="474052C5"/>
    <w:rsid w:val="478F8D31"/>
    <w:rsid w:val="47FA4948"/>
    <w:rsid w:val="48A4B02D"/>
    <w:rsid w:val="48C45B29"/>
    <w:rsid w:val="48CA5BA9"/>
    <w:rsid w:val="4943433C"/>
    <w:rsid w:val="4A34C020"/>
    <w:rsid w:val="4B9CE1F7"/>
    <w:rsid w:val="4CC8E33D"/>
    <w:rsid w:val="4CFAE3C9"/>
    <w:rsid w:val="4D799F97"/>
    <w:rsid w:val="4E0F546E"/>
    <w:rsid w:val="4F6E3405"/>
    <w:rsid w:val="4F7C5D59"/>
    <w:rsid w:val="4FE931B2"/>
    <w:rsid w:val="50CB6DA9"/>
    <w:rsid w:val="51AF8DF3"/>
    <w:rsid w:val="52DBADCE"/>
    <w:rsid w:val="55B25581"/>
    <w:rsid w:val="573A0650"/>
    <w:rsid w:val="57805E98"/>
    <w:rsid w:val="5A4796B0"/>
    <w:rsid w:val="5B61DC7B"/>
    <w:rsid w:val="5C1A5BD5"/>
    <w:rsid w:val="614CBC23"/>
    <w:rsid w:val="61AF3735"/>
    <w:rsid w:val="641F985E"/>
    <w:rsid w:val="64296E3E"/>
    <w:rsid w:val="6522793F"/>
    <w:rsid w:val="69829ABA"/>
    <w:rsid w:val="6A000604"/>
    <w:rsid w:val="6C5DA454"/>
    <w:rsid w:val="6F1EEBBD"/>
    <w:rsid w:val="6F5D064D"/>
    <w:rsid w:val="71E0EFC2"/>
    <w:rsid w:val="76715557"/>
    <w:rsid w:val="767F9BB8"/>
    <w:rsid w:val="77E19A3A"/>
    <w:rsid w:val="781390D1"/>
    <w:rsid w:val="78890875"/>
    <w:rsid w:val="7A253DB8"/>
    <w:rsid w:val="7BA2835E"/>
    <w:rsid w:val="7BA52FEB"/>
    <w:rsid w:val="7BFA9938"/>
    <w:rsid w:val="7D9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528B"/>
  <w15:chartTrackingRefBased/>
  <w15:docId w15:val="{C2BF4E7B-922F-49C7-A098-8E98E76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9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858E7D1B8634F973D75B2B859AE7B" ma:contentTypeVersion="17" ma:contentTypeDescription="Create a new document." ma:contentTypeScope="" ma:versionID="bc9caf560e70dd07d98df40ba0589beb">
  <xsd:schema xmlns:xsd="http://www.w3.org/2001/XMLSchema" xmlns:xs="http://www.w3.org/2001/XMLSchema" xmlns:p="http://schemas.microsoft.com/office/2006/metadata/properties" xmlns:ns2="59177583-2a3b-4cba-a4a5-98a697fbe2ce" xmlns:ns3="f99783ed-ff7c-4b46-b6ae-597514d366df" targetNamespace="http://schemas.microsoft.com/office/2006/metadata/properties" ma:root="true" ma:fieldsID="031850095d5841706c68ef4188f4f386" ns2:_="" ns3:_="">
    <xsd:import namespace="59177583-2a3b-4cba-a4a5-98a697fbe2ce"/>
    <xsd:import namespace="f99783ed-ff7c-4b46-b6ae-597514d36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7583-2a3b-4cba-a4a5-98a697fbe2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a624b3-9e02-4de5-b859-0251ef82fa75}" ma:internalName="TaxCatchAll" ma:showField="CatchAllData" ma:web="59177583-2a3b-4cba-a4a5-98a697fbe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783ed-ff7c-4b46-b6ae-597514d3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f946d7-a56f-4a8a-9a9e-862dff236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177583-2a3b-4cba-a4a5-98a697fbe2ce">C5DRPEWXKSWW-775279894-77201</_dlc_DocId>
    <lcf76f155ced4ddcb4097134ff3c332f xmlns="f99783ed-ff7c-4b46-b6ae-597514d366df">
      <Terms xmlns="http://schemas.microsoft.com/office/infopath/2007/PartnerControls"/>
    </lcf76f155ced4ddcb4097134ff3c332f>
    <TaxCatchAll xmlns="59177583-2a3b-4cba-a4a5-98a697fbe2ce" xsi:nil="true"/>
    <_dlc_DocIdUrl xmlns="59177583-2a3b-4cba-a4a5-98a697fbe2ce">
      <Url>https://microgen.sharepoint.com/teams/cosec/_layouts/15/DocIdRedir.aspx?ID=C5DRPEWXKSWW-775279894-77201</Url>
      <Description>C5DRPEWXKSWW-775279894-77201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2BE3EC-2A0F-4781-BAA5-A934E7286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77583-2a3b-4cba-a4a5-98a697fbe2ce"/>
    <ds:schemaRef ds:uri="f99783ed-ff7c-4b46-b6ae-597514d3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45F8B-8548-4E4D-8454-EE6187680C1B}">
  <ds:schemaRefs>
    <ds:schemaRef ds:uri="http://schemas.microsoft.com/office/2006/metadata/properties"/>
    <ds:schemaRef ds:uri="http://schemas.microsoft.com/office/infopath/2007/PartnerControls"/>
    <ds:schemaRef ds:uri="59177583-2a3b-4cba-a4a5-98a697fbe2ce"/>
    <ds:schemaRef ds:uri="f99783ed-ff7c-4b46-b6ae-597514d366df"/>
  </ds:schemaRefs>
</ds:datastoreItem>
</file>

<file path=customXml/itemProps3.xml><?xml version="1.0" encoding="utf-8"?>
<ds:datastoreItem xmlns:ds="http://schemas.openxmlformats.org/officeDocument/2006/customXml" ds:itemID="{34646AC0-FA07-4958-B557-6CE823685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D7C1B-DD33-4151-A5BB-27CE5F655E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Carne</dc:creator>
  <cp:keywords/>
  <dc:description/>
  <cp:lastModifiedBy>Sarah Carne</cp:lastModifiedBy>
  <cp:revision>7</cp:revision>
  <dcterms:created xsi:type="dcterms:W3CDTF">2025-03-10T08:47:00Z</dcterms:created>
  <dcterms:modified xsi:type="dcterms:W3CDTF">2025-03-25T15:35:00Z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0x010100B0D858E7D1B8634F973D75B2B859AE7B</vt:lpwstr>
  </property>
  <property fmtid="{D5CDD505-2E9C-101B-9397-08002B2CF9AE}" pid="3" name="_dlc_DocIdItemGuid">
    <vt:lpwstr>cb9e546c-9ae6-4c73-9ba0-66417f2fd628</vt:lpwstr>
  </property>
  <property fmtid="{D5CDD505-2E9C-101B-9397-08002B2CF9AE}" pid="4" name="MediaServiceImageTags">
    <vt:lpwstr/>
  </property>
</Properties>
</file>